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58966">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bCs/>
          <w:sz w:val="24"/>
          <w:szCs w:val="24"/>
        </w:rPr>
        <w:t>项目名称</w:t>
      </w:r>
      <w:r>
        <w:rPr>
          <w:rFonts w:hint="default" w:ascii="Times New Roman" w:hAnsi="Times New Roman" w:cs="Times New Roman"/>
          <w:b/>
          <w:bCs/>
          <w:sz w:val="24"/>
          <w:szCs w:val="24"/>
          <w:lang w:eastAsia="zh-CN"/>
        </w:rPr>
        <w:t>：</w:t>
      </w:r>
      <w:r>
        <w:rPr>
          <w:rFonts w:hint="default" w:ascii="Times New Roman" w:hAnsi="Times New Roman" w:cs="Times New Roman"/>
          <w:b w:val="0"/>
          <w:bCs w:val="0"/>
          <w:sz w:val="24"/>
          <w:szCs w:val="24"/>
          <w:lang w:eastAsia="zh-CN"/>
        </w:rPr>
        <w:t>双中心双金属催化剂的设计及其在废水处理中持续再生活性位点的机理研究</w:t>
      </w:r>
    </w:p>
    <w:p w14:paraId="691CE36C">
      <w:pPr>
        <w:spacing w:line="360" w:lineRule="auto"/>
        <w:rPr>
          <w:rFonts w:hint="default" w:ascii="Times New Roman" w:hAnsi="Times New Roman" w:cs="Times New Roman"/>
          <w:b/>
          <w:bCs/>
          <w:sz w:val="24"/>
          <w:szCs w:val="24"/>
          <w:lang w:eastAsia="zh-CN"/>
        </w:rPr>
      </w:pPr>
    </w:p>
    <w:p w14:paraId="40B9E416">
      <w:pPr>
        <w:spacing w:line="360" w:lineRule="auto"/>
        <w:rPr>
          <w:rFonts w:hint="default" w:ascii="Times New Roman" w:hAnsi="Times New Roman" w:cs="Times New Roman"/>
          <w:b w:val="0"/>
          <w:bCs w:val="0"/>
          <w:sz w:val="24"/>
          <w:szCs w:val="24"/>
          <w:lang w:val="en-US" w:eastAsia="zh-CN"/>
        </w:rPr>
      </w:pPr>
      <w:r>
        <w:rPr>
          <w:rFonts w:hint="default" w:ascii="Times New Roman" w:hAnsi="Times New Roman" w:cs="Times New Roman"/>
          <w:b/>
          <w:bCs/>
          <w:sz w:val="24"/>
          <w:szCs w:val="24"/>
        </w:rPr>
        <w:t>提名者</w:t>
      </w:r>
      <w:r>
        <w:rPr>
          <w:rFonts w:hint="default" w:ascii="Times New Roman" w:hAnsi="Times New Roman" w:cs="Times New Roman"/>
          <w:b/>
          <w:bCs/>
          <w:sz w:val="24"/>
          <w:szCs w:val="24"/>
          <w:lang w:eastAsia="zh-CN"/>
        </w:rPr>
        <w:t>：</w:t>
      </w:r>
      <w:r>
        <w:rPr>
          <w:rFonts w:hint="default" w:ascii="Times New Roman" w:hAnsi="Times New Roman" w:cs="Times New Roman"/>
          <w:b w:val="0"/>
          <w:bCs w:val="0"/>
          <w:sz w:val="24"/>
          <w:szCs w:val="24"/>
          <w:lang w:val="en-US" w:eastAsia="zh-CN"/>
        </w:rPr>
        <w:t>武汉市</w:t>
      </w:r>
    </w:p>
    <w:p w14:paraId="0B74E81C">
      <w:pPr>
        <w:spacing w:line="360" w:lineRule="auto"/>
        <w:rPr>
          <w:rFonts w:hint="default" w:ascii="Times New Roman" w:hAnsi="Times New Roman" w:cs="Times New Roman"/>
          <w:b/>
          <w:bCs/>
          <w:sz w:val="24"/>
          <w:szCs w:val="24"/>
          <w:lang w:val="en-US" w:eastAsia="zh-CN"/>
        </w:rPr>
      </w:pPr>
    </w:p>
    <w:p w14:paraId="248C30AE">
      <w:pPr>
        <w:spacing w:line="360" w:lineRule="auto"/>
        <w:rPr>
          <w:rFonts w:hint="default" w:ascii="Times New Roman" w:hAnsi="Times New Roman" w:cs="Times New Roman"/>
          <w:b/>
          <w:bCs/>
          <w:sz w:val="24"/>
          <w:szCs w:val="24"/>
          <w:lang w:eastAsia="zh-CN"/>
        </w:rPr>
      </w:pPr>
      <w:r>
        <w:rPr>
          <w:rFonts w:hint="default" w:ascii="Times New Roman" w:hAnsi="Times New Roman" w:cs="Times New Roman"/>
          <w:b/>
          <w:bCs/>
          <w:sz w:val="24"/>
          <w:szCs w:val="24"/>
        </w:rPr>
        <w:t>提名意见</w:t>
      </w:r>
      <w:r>
        <w:rPr>
          <w:rFonts w:hint="default" w:ascii="Times New Roman" w:hAnsi="Times New Roman" w:cs="Times New Roman"/>
          <w:b/>
          <w:bCs/>
          <w:sz w:val="24"/>
          <w:szCs w:val="24"/>
          <w:lang w:eastAsia="zh-CN"/>
        </w:rPr>
        <w:t>：</w:t>
      </w:r>
    </w:p>
    <w:p w14:paraId="591A67F2">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该项目组由武汉工商学院相关研究人员组成，针对基于硫酸根自由基的高级氧化技术中催化剂活性位点再生缓慢、工艺稳定性差的关键科学问题，开展了系统深入的原创性研究，在双中心催化剂设计、活性位点持续再生机制及其应用基础研究方面取得了突破性进展。主要科学发现如下：</w:t>
      </w:r>
    </w:p>
    <w:p w14:paraId="146ECBD3">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一、原创性提出“双中心催化剂”设计思想。 突破传统单一活性中心的研究局限，首次将富电子材料（MoS₄²⁻、rGO等）与缺电子过渡金属（Fe、Cu）耦合，构建了兼具电子供给与催化氧化功能的双中心催化剂体系，为解决活性位点再生难题提供了全新理论思路。</w:t>
      </w:r>
    </w:p>
    <w:p w14:paraId="1BFEA52D">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二、揭示活性位点持续再生的“自驱动电子转移”机制。 系统阐明了富电子中心作为“电子库”，通过热力学自发的电子转移过程持续还原高价态过渡金属，实现M⁽ⁿ⁺¹⁾⁺/Mⁿ⁺高效循环的微观规律，从电子层面揭示了双中心催化剂长效稳定运行的本质，建立了电子结构与催化性能的构效关系。</w:t>
      </w:r>
    </w:p>
    <w:p w14:paraId="5436E112">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三、验证双中心策略的普适性与应用潜力。 成功将双中心策略拓展至多种材料体系，在模拟实际废水的固定床反应器中验证了其优越的长期运行效能，为开发面向实际应用的高效稳定水处理技术奠定了坚实的科学基础，具有重要的工程指导价值。</w:t>
      </w:r>
    </w:p>
    <w:p w14:paraId="4E378C95">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该项目在实施期间，获得国家自然科学基金外国优秀青年学者研究基金、湖北省自然科学基金等多项项目资助。5篇代表性论文发表在Environ. Sci. Technol.、Water Res.、Chem. Eng. J.、Chin. J. Catal.等国际及国内权威期刊，被引共计1109次，其中单篇最高被引560次（高被引论文），单篇最高影响因子IF=20.3。部分研究成果被本领域的国际著名学术期刊多次引用并给予高度评价，结果充分显示出该项工作受到国内外同行广泛关注，突显该项工作的新颖性和科学价值。</w:t>
      </w:r>
    </w:p>
    <w:p w14:paraId="5EB022C0">
      <w:pPr>
        <w:spacing w:line="360" w:lineRule="auto"/>
        <w:rPr>
          <w:rFonts w:hint="default" w:ascii="Times New Roman" w:hAnsi="Times New Roman" w:cs="Times New Roman"/>
          <w:b w:val="0"/>
          <w:bCs w:val="0"/>
          <w:sz w:val="24"/>
          <w:szCs w:val="24"/>
          <w:lang w:eastAsia="zh-CN"/>
        </w:rPr>
      </w:pPr>
    </w:p>
    <w:p w14:paraId="535E625E">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研究成果无知识产权争议，提名书填写内容真实有效，材料充分，相关栏目符合填写要求，申报材料经公示无异议。该成果在环境催化领域达到了国内领先水平，同意推荐湖北省自然科学奖</w:t>
      </w:r>
      <w:r>
        <w:rPr>
          <w:rFonts w:hint="default" w:ascii="Times New Roman" w:hAnsi="Times New Roman" w:cs="Times New Roman"/>
          <w:b w:val="0"/>
          <w:bCs w:val="0"/>
          <w:sz w:val="24"/>
          <w:szCs w:val="24"/>
          <w:lang w:val="en-US" w:eastAsia="zh-CN"/>
        </w:rPr>
        <w:t>二</w:t>
      </w:r>
      <w:r>
        <w:rPr>
          <w:rFonts w:hint="default" w:ascii="Times New Roman" w:hAnsi="Times New Roman" w:cs="Times New Roman"/>
          <w:b w:val="0"/>
          <w:bCs w:val="0"/>
          <w:sz w:val="24"/>
          <w:szCs w:val="24"/>
          <w:lang w:eastAsia="zh-CN"/>
        </w:rPr>
        <w:t>等奖。</w:t>
      </w:r>
    </w:p>
    <w:p w14:paraId="783C04C8">
      <w:pPr>
        <w:spacing w:line="360" w:lineRule="auto"/>
        <w:ind w:firstLine="420" w:firstLineChars="0"/>
        <w:rPr>
          <w:rFonts w:hint="default" w:ascii="Times New Roman" w:hAnsi="Times New Roman" w:cs="Times New Roman"/>
          <w:b w:val="0"/>
          <w:bCs w:val="0"/>
          <w:sz w:val="24"/>
          <w:szCs w:val="24"/>
          <w:lang w:eastAsia="zh-CN"/>
        </w:rPr>
      </w:pPr>
    </w:p>
    <w:p w14:paraId="1FA946BF">
      <w:pPr>
        <w:spacing w:line="360" w:lineRule="auto"/>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项目简介</w:t>
      </w:r>
      <w:r>
        <w:rPr>
          <w:rFonts w:hint="default" w:ascii="Times New Roman" w:hAnsi="Times New Roman" w:cs="Times New Roman"/>
          <w:b/>
          <w:bCs/>
          <w:sz w:val="24"/>
          <w:szCs w:val="24"/>
          <w:lang w:eastAsia="zh-CN"/>
        </w:rPr>
        <w:t>：</w:t>
      </w:r>
    </w:p>
    <w:p w14:paraId="405D7CBF">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本项目属于环境催化、环境工程与物理化学等多个交叉学科领域，是当前水污染控制技术的前沿热点之一。催化剂活性位点的持续再生及其电子转移机制，是环境催化领域中重要的、基础的科学问题。项目组在双中心催化剂体系构建、活性位点再生机制揭示及其应用基础研究等方面，取得了突破性进展。</w:t>
      </w:r>
    </w:p>
    <w:p w14:paraId="4367A3D7">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主要科学发现如下：</w:t>
      </w:r>
    </w:p>
    <w:p w14:paraId="5AAF139B">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1）原创性提出“双中心催化剂”设计思想。突破传统单一活性中心的研究局限，首次将富电子材料（MoS₄²⁻、rGO等）与缺电子过渡金属（Fe、Cu）耦合，构建了兼具电子供给与催化氧化功能的双中心催化剂体系，为解决过硫酸盐高级氧化技术中活性位点再生难题提供了全新理论思路。</w:t>
      </w:r>
    </w:p>
    <w:p w14:paraId="72E4594E">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2）揭示活性位点持续再生的“自驱动电子转移”机制。系统阐明了富电子中心（Mo⁴⁺/S²⁻等）作为“电子库”，通过热力学自发的电子转移过程持续还原高价态Fe³⁺/Cu²⁺，实现M⁽ⁿ⁺¹⁾⁺/Mⁿ⁺高效循环的微观规律，从电子层面揭示了双中心催化剂长效稳定运行的本质，建立了电子结构与催化性能的构效关系。</w:t>
      </w:r>
    </w:p>
    <w:p w14:paraId="74B97EFF">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（3</w:t>
      </w:r>
      <w:r>
        <w:rPr>
          <w:rFonts w:hint="default" w:ascii="Times New Roman" w:hAnsi="Times New Roman" w:cs="Times New Roman"/>
          <w:b w:val="0"/>
          <w:bCs w:val="0"/>
          <w:sz w:val="24"/>
          <w:szCs w:val="24"/>
          <w:lang w:eastAsia="zh-CN"/>
        </w:rPr>
        <w:t>）</w:t>
      </w:r>
      <w:r>
        <w:rPr>
          <w:rFonts w:hint="default" w:ascii="Times New Roman" w:hAnsi="Times New Roman" w:cs="Times New Roman"/>
          <w:b w:val="0"/>
          <w:bCs w:val="0"/>
          <w:sz w:val="24"/>
          <w:szCs w:val="24"/>
          <w:lang w:eastAsia="zh-CN"/>
        </w:rPr>
        <w:t>验证双中心策略的普适性与应用潜力。成功将双中心策略拓展至CuOx@Co-LDH、Fe-rGO LDH等多种材料体系，在模拟实际废水的固定床反应器中验证了其优越的长期运行效能，为开发面向实际应用的高效稳定水处理技术奠定了坚实的科学基础，具有重要的工程指导价值。</w:t>
      </w:r>
    </w:p>
    <w:p w14:paraId="4CA43690">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这些成果为拓展环境功能材料在有机废水深度处理、难降解污染物控制等领域的应用，提供了新途径、新思路和新方法，具有深远的科学意义。</w:t>
      </w:r>
    </w:p>
    <w:p w14:paraId="4A99676D">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该项目在实施期间，获得国家自然科学基金外国优秀青年学者研究基金、湖北省自然科学基金等多项项目资助。5篇代表性论文发表在Environ. Sci. Technol.、Water Res.、Chem. Eng. J.、Chin. J. Catal.等国际及国内权威期刊，被引共计1109次，其中单篇最高被引560次（高被引论文），单篇最高影响因子IF=20.3。部分研究成果被本领域的国际著名学术期刊多次引用并给予高度评价，充分显示出该项工作受到国内外同行的广泛关注，突显了该项工作的创新性和科学价值。</w:t>
      </w:r>
    </w:p>
    <w:p w14:paraId="70812A44">
      <w:pPr>
        <w:spacing w:line="360" w:lineRule="auto"/>
        <w:ind w:firstLine="420" w:firstLineChars="0"/>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项目负责人Jawad Ali博士于2024年获批国家自然科学基金外国优秀青年学者研究基金，现为武汉</w:t>
      </w:r>
      <w:r>
        <w:rPr>
          <w:rFonts w:hint="default" w:ascii="Times New Roman" w:hAnsi="Times New Roman" w:cs="Times New Roman"/>
          <w:b w:val="0"/>
          <w:bCs w:val="0"/>
          <w:sz w:val="24"/>
          <w:szCs w:val="24"/>
          <w:lang w:val="en-US" w:eastAsia="zh-CN"/>
        </w:rPr>
        <w:t>工商学院</w:t>
      </w:r>
      <w:r>
        <w:rPr>
          <w:rFonts w:hint="default" w:ascii="Times New Roman" w:hAnsi="Times New Roman" w:cs="Times New Roman"/>
          <w:b w:val="0"/>
          <w:bCs w:val="0"/>
          <w:sz w:val="24"/>
          <w:szCs w:val="24"/>
          <w:lang w:eastAsia="zh-CN"/>
        </w:rPr>
        <w:t>特聘教授，在环境催化领域取得了系列创新性成果，担任多个国际期刊特邀审稿人，并在国内学术会议上多次作邀请报告，受到同行的广泛关注和认同。</w:t>
      </w:r>
    </w:p>
    <w:p w14:paraId="4879711E">
      <w:pPr>
        <w:spacing w:line="360" w:lineRule="auto"/>
        <w:ind w:firstLine="420" w:firstLineChars="0"/>
        <w:rPr>
          <w:rFonts w:hint="default" w:ascii="Times New Roman" w:hAnsi="Times New Roman" w:cs="Times New Roman"/>
          <w:b w:val="0"/>
          <w:bCs w:val="0"/>
          <w:sz w:val="24"/>
          <w:szCs w:val="24"/>
          <w:lang w:eastAsia="zh-CN"/>
        </w:rPr>
      </w:pPr>
    </w:p>
    <w:p w14:paraId="1B993453">
      <w:pPr>
        <w:spacing w:line="360" w:lineRule="auto"/>
        <w:rPr>
          <w:rFonts w:hint="default" w:ascii="Times New Roman" w:hAnsi="Times New Roman" w:cs="Times New Roman"/>
          <w:b/>
          <w:bCs/>
          <w:sz w:val="24"/>
          <w:szCs w:val="24"/>
          <w:lang w:eastAsia="zh-CN"/>
        </w:rPr>
      </w:pPr>
      <w:r>
        <w:rPr>
          <w:rFonts w:hint="default" w:ascii="Times New Roman" w:hAnsi="Times New Roman" w:cs="Times New Roman"/>
          <w:b/>
          <w:bCs/>
          <w:sz w:val="24"/>
          <w:szCs w:val="24"/>
          <w:lang w:eastAsia="zh-CN"/>
        </w:rPr>
        <w:t>代表性论文专著目录</w:t>
      </w:r>
      <w:r>
        <w:rPr>
          <w:rFonts w:hint="default" w:ascii="Times New Roman" w:hAnsi="Times New Roman" w:cs="Times New Roman"/>
          <w:b/>
          <w:bCs/>
          <w:sz w:val="24"/>
          <w:szCs w:val="24"/>
          <w:lang w:eastAsia="zh-CN"/>
        </w:rPr>
        <w:t>：</w:t>
      </w:r>
    </w:p>
    <w:p w14:paraId="4280ECFD">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[1] Ali J, Zhan K, Wang H, et al. Tuning of persulfate activation from a free radical to a nonradical pathway through the incorporation of non-redox magnesium oxide[J]. Environmental Science &amp; Technology, 2020, 54(4): 2476-2488.</w:t>
      </w:r>
    </w:p>
    <w:p w14:paraId="3ABFE451">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[2] Ali J, Wenli L, Shahzad A, et al. Regulating the redox centers of Fe through the enrichment of Mo moiety for persulfate activation: A new strategy to achieve maximum persulfate utilization efficiency[J]. Water Research, 2020, 181: 115862.</w:t>
      </w:r>
    </w:p>
    <w:p w14:paraId="14275B38">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[3] Ali J, Lang J, Liao Z, et al. Activation of persulfate by CuOx@Co-LDH: a novel heterogeneous system for contaminant degradation with broad pH window and controlled leaching[J]. Chemical Engineering Journal, 2018, 335: 548-559.</w:t>
      </w:r>
    </w:p>
    <w:p w14:paraId="2E0526FB">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[4] Ali J, Chen Z, Yin G. Bicarbonate activation of hydrogen peroxide: A new emerging technology for wastewater treatment[J]. Chinese Journal of Catalysis, 2016, 37(6): 810-825.</w:t>
      </w:r>
    </w:p>
    <w:p w14:paraId="2CCC7D0F">
      <w:pPr>
        <w:spacing w:line="360" w:lineRule="auto"/>
        <w:rPr>
          <w:rFonts w:hint="default" w:ascii="Times New Roman" w:hAnsi="Times New Roman" w:cs="Times New Roman"/>
          <w:b w:val="0"/>
          <w:bCs w:val="0"/>
          <w:sz w:val="24"/>
          <w:szCs w:val="24"/>
          <w:lang w:eastAsia="zh-CN"/>
        </w:rPr>
      </w:pPr>
      <w:r>
        <w:rPr>
          <w:rFonts w:hint="default" w:ascii="Times New Roman" w:hAnsi="Times New Roman" w:cs="Times New Roman"/>
          <w:b w:val="0"/>
          <w:bCs w:val="0"/>
          <w:sz w:val="24"/>
          <w:szCs w:val="24"/>
          <w:lang w:eastAsia="zh-CN"/>
        </w:rPr>
        <w:t>[5] Li Y, Ali J, Khan A, et al. Synergistic degradation of phenols by bimetallic CuO–Co</w:t>
      </w:r>
      <w:r>
        <w:rPr>
          <w:rFonts w:hint="default" w:ascii="Times New Roman" w:hAnsi="Times New Roman" w:cs="Times New Roman"/>
          <w:b w:val="0"/>
          <w:bCs w:val="0"/>
          <w:sz w:val="24"/>
          <w:szCs w:val="24"/>
          <w:vertAlign w:val="subscript"/>
          <w:lang w:eastAsia="zh-CN"/>
        </w:rPr>
        <w:t>3</w:t>
      </w:r>
      <w:r>
        <w:rPr>
          <w:rFonts w:hint="default" w:ascii="Times New Roman" w:hAnsi="Times New Roman" w:cs="Times New Roman"/>
          <w:b w:val="0"/>
          <w:bCs w:val="0"/>
          <w:sz w:val="24"/>
          <w:szCs w:val="24"/>
          <w:lang w:eastAsia="zh-CN"/>
        </w:rPr>
        <w:t>O</w:t>
      </w:r>
      <w:r>
        <w:rPr>
          <w:rFonts w:hint="default" w:ascii="Times New Roman" w:hAnsi="Times New Roman" w:cs="Times New Roman"/>
          <w:b w:val="0"/>
          <w:bCs w:val="0"/>
          <w:sz w:val="24"/>
          <w:szCs w:val="24"/>
          <w:vertAlign w:val="subscript"/>
          <w:lang w:eastAsia="zh-CN"/>
        </w:rPr>
        <w:t>4</w:t>
      </w:r>
      <w:r>
        <w:rPr>
          <w:rFonts w:hint="default" w:ascii="Times New Roman" w:hAnsi="Times New Roman" w:cs="Times New Roman"/>
          <w:b w:val="0"/>
          <w:bCs w:val="0"/>
          <w:sz w:val="24"/>
          <w:szCs w:val="24"/>
          <w:lang w:eastAsia="zh-CN"/>
        </w:rPr>
        <w:t>@γ-Al</w:t>
      </w:r>
      <w:r>
        <w:rPr>
          <w:rFonts w:hint="default" w:ascii="Times New Roman" w:hAnsi="Times New Roman" w:cs="Times New Roman"/>
          <w:b w:val="0"/>
          <w:bCs w:val="0"/>
          <w:sz w:val="24"/>
          <w:szCs w:val="24"/>
          <w:vertAlign w:val="subscript"/>
          <w:lang w:eastAsia="zh-CN"/>
        </w:rPr>
        <w:t>2</w:t>
      </w:r>
      <w:r>
        <w:rPr>
          <w:rFonts w:hint="default" w:ascii="Times New Roman" w:hAnsi="Times New Roman" w:cs="Times New Roman"/>
          <w:b w:val="0"/>
          <w:bCs w:val="0"/>
          <w:sz w:val="24"/>
          <w:szCs w:val="24"/>
          <w:lang w:eastAsia="zh-CN"/>
        </w:rPr>
        <w:t>O</w:t>
      </w:r>
      <w:r>
        <w:rPr>
          <w:rFonts w:hint="default" w:ascii="Times New Roman" w:hAnsi="Times New Roman" w:cs="Times New Roman"/>
          <w:b w:val="0"/>
          <w:bCs w:val="0"/>
          <w:sz w:val="24"/>
          <w:szCs w:val="24"/>
          <w:vertAlign w:val="subscript"/>
          <w:lang w:eastAsia="zh-CN"/>
        </w:rPr>
        <w:t>3</w:t>
      </w:r>
      <w:r>
        <w:rPr>
          <w:rFonts w:hint="default" w:ascii="Times New Roman" w:hAnsi="Times New Roman" w:cs="Times New Roman"/>
          <w:b w:val="0"/>
          <w:bCs w:val="0"/>
          <w:sz w:val="24"/>
          <w:szCs w:val="24"/>
          <w:lang w:eastAsia="zh-CN"/>
        </w:rPr>
        <w:t xml:space="preserve"> catalyst in H</w:t>
      </w:r>
      <w:r>
        <w:rPr>
          <w:rFonts w:hint="default" w:ascii="Times New Roman" w:hAnsi="Times New Roman" w:cs="Times New Roman"/>
          <w:b w:val="0"/>
          <w:bCs w:val="0"/>
          <w:sz w:val="24"/>
          <w:szCs w:val="24"/>
          <w:vertAlign w:val="subscript"/>
          <w:lang w:eastAsia="zh-CN"/>
        </w:rPr>
        <w:t>2</w:t>
      </w:r>
      <w:r>
        <w:rPr>
          <w:rFonts w:hint="default" w:ascii="Times New Roman" w:hAnsi="Times New Roman" w:cs="Times New Roman"/>
          <w:b w:val="0"/>
          <w:bCs w:val="0"/>
          <w:sz w:val="24"/>
          <w:szCs w:val="24"/>
          <w:lang w:eastAsia="zh-CN"/>
        </w:rPr>
        <w:t>O</w:t>
      </w:r>
      <w:r>
        <w:rPr>
          <w:rFonts w:hint="default" w:ascii="Times New Roman" w:hAnsi="Times New Roman" w:cs="Times New Roman"/>
          <w:b w:val="0"/>
          <w:bCs w:val="0"/>
          <w:sz w:val="24"/>
          <w:szCs w:val="24"/>
          <w:vertAlign w:val="subscript"/>
          <w:lang w:eastAsia="zh-CN"/>
        </w:rPr>
        <w:t>2</w:t>
      </w:r>
      <w:r>
        <w:rPr>
          <w:rFonts w:hint="default" w:ascii="Times New Roman" w:hAnsi="Times New Roman" w:cs="Times New Roman"/>
          <w:b w:val="0"/>
          <w:bCs w:val="0"/>
          <w:sz w:val="24"/>
          <w:szCs w:val="24"/>
          <w:lang w:eastAsia="zh-CN"/>
        </w:rPr>
        <w:t>/HCO</w:t>
      </w:r>
      <w:r>
        <w:rPr>
          <w:rFonts w:hint="default" w:ascii="Times New Roman" w:hAnsi="Times New Roman" w:cs="Times New Roman"/>
          <w:b w:val="0"/>
          <w:bCs w:val="0"/>
          <w:sz w:val="24"/>
          <w:szCs w:val="24"/>
          <w:vertAlign w:val="subscript"/>
          <w:lang w:eastAsia="zh-CN"/>
        </w:rPr>
        <w:t>3</w:t>
      </w:r>
      <w:r>
        <w:rPr>
          <w:rFonts w:hint="default" w:ascii="Times New Roman" w:hAnsi="Times New Roman" w:cs="Times New Roman"/>
          <w:b w:val="0"/>
          <w:bCs w:val="0"/>
          <w:sz w:val="24"/>
          <w:szCs w:val="24"/>
          <w:vertAlign w:val="superscript"/>
          <w:lang w:eastAsia="zh-CN"/>
        </w:rPr>
        <w:t>−</w:t>
      </w:r>
      <w:r>
        <w:rPr>
          <w:rFonts w:hint="default" w:ascii="Times New Roman" w:hAnsi="Times New Roman" w:cs="Times New Roman"/>
          <w:b w:val="0"/>
          <w:bCs w:val="0"/>
          <w:sz w:val="24"/>
          <w:szCs w:val="24"/>
          <w:lang w:eastAsia="zh-CN"/>
        </w:rPr>
        <w:t xml:space="preserve"> system[J]. Chinese Journal of Catalysis, 2016, 37(6): 963-970.</w:t>
      </w:r>
    </w:p>
    <w:p w14:paraId="5EF1DC9B">
      <w:pPr>
        <w:spacing w:line="360" w:lineRule="auto"/>
        <w:rPr>
          <w:rFonts w:hint="default" w:ascii="Times New Roman" w:hAnsi="Times New Roman" w:cs="Times New Roman"/>
          <w:b/>
          <w:bCs/>
          <w:sz w:val="24"/>
          <w:szCs w:val="24"/>
          <w:lang w:eastAsia="zh-CN"/>
        </w:rPr>
      </w:pPr>
    </w:p>
    <w:p w14:paraId="3EF0AE0C">
      <w:pPr>
        <w:spacing w:line="360" w:lineRule="auto"/>
        <w:rPr>
          <w:rFonts w:hint="eastAsia" w:ascii="Times New Roman" w:hAnsi="Times New Roman" w:cs="Times New Roman"/>
          <w:b/>
          <w:bCs/>
          <w:sz w:val="24"/>
          <w:szCs w:val="24"/>
          <w:lang w:eastAsia="zh-CN"/>
        </w:rPr>
      </w:pPr>
      <w:r>
        <w:rPr>
          <w:rFonts w:hint="default" w:ascii="Times New Roman" w:hAnsi="Times New Roman" w:cs="Times New Roman"/>
          <w:b/>
          <w:bCs/>
          <w:sz w:val="24"/>
          <w:szCs w:val="24"/>
          <w:lang w:eastAsia="zh-CN"/>
        </w:rPr>
        <w:t>主要完成人（完成单位）</w:t>
      </w:r>
      <w:r>
        <w:rPr>
          <w:rFonts w:hint="eastAsia" w:ascii="Times New Roman" w:hAnsi="Times New Roman" w:cs="Times New Roman"/>
          <w:b/>
          <w:bCs/>
          <w:sz w:val="24"/>
          <w:szCs w:val="24"/>
          <w:lang w:eastAsia="zh-CN"/>
        </w:rPr>
        <w:t>：</w:t>
      </w:r>
      <w:bookmarkStart w:id="0" w:name="_GoBack"/>
      <w:bookmarkEnd w:id="0"/>
    </w:p>
    <w:p w14:paraId="088A4753">
      <w:pPr>
        <w:spacing w:line="360" w:lineRule="auto"/>
        <w:rPr>
          <w:rFonts w:hint="eastAsia"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eastAsia="zh-CN"/>
        </w:rPr>
        <w:t>Jawad Ali</w:t>
      </w:r>
      <w:r>
        <w:rPr>
          <w:rFonts w:hint="eastAsia" w:ascii="Times New Roman" w:hAnsi="Times New Roman" w:cs="Times New Roman"/>
          <w:b w:val="0"/>
          <w:bCs w:val="0"/>
          <w:sz w:val="24"/>
          <w:szCs w:val="24"/>
          <w:lang w:eastAsia="zh-CN"/>
        </w:rPr>
        <w:t>、</w:t>
      </w:r>
      <w:r>
        <w:rPr>
          <w:rFonts w:hint="eastAsia" w:ascii="Times New Roman" w:hAnsi="Times New Roman" w:cs="Times New Roman"/>
          <w:b w:val="0"/>
          <w:bCs w:val="0"/>
          <w:sz w:val="24"/>
          <w:szCs w:val="24"/>
          <w:lang w:val="en-US" w:eastAsia="zh-CN"/>
        </w:rPr>
        <w:t>马海清、陈亚男（武汉工商学院）</w:t>
      </w:r>
    </w:p>
    <w:p w14:paraId="65616CB5">
      <w:pPr>
        <w:spacing w:line="360" w:lineRule="auto"/>
        <w:rPr>
          <w:rFonts w:hint="default" w:ascii="Times New Roman" w:hAnsi="Times New Roman" w:cs="Times New Roman"/>
          <w:b w:val="0"/>
          <w:bCs w:val="0"/>
          <w:sz w:val="24"/>
          <w:szCs w:val="24"/>
          <w:lang w:val="en-US" w:eastAsia="zh-CN"/>
        </w:rPr>
      </w:pPr>
    </w:p>
    <w:p w14:paraId="39E2CCBA">
      <w:pPr>
        <w:spacing w:line="360" w:lineRule="auto"/>
        <w:rPr>
          <w:rFonts w:hint="default" w:ascii="Times New Roman" w:hAnsi="Times New Roman" w:cs="Times New Roman"/>
          <w:b w:val="0"/>
          <w:bCs w:val="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7779"/>
    <w:rsid w:val="02347274"/>
    <w:rsid w:val="02BF0EF1"/>
    <w:rsid w:val="03057804"/>
    <w:rsid w:val="03EE6BB3"/>
    <w:rsid w:val="03FE6692"/>
    <w:rsid w:val="0495562A"/>
    <w:rsid w:val="0509015F"/>
    <w:rsid w:val="069F514B"/>
    <w:rsid w:val="06A85117"/>
    <w:rsid w:val="06AA2094"/>
    <w:rsid w:val="07506E94"/>
    <w:rsid w:val="09494752"/>
    <w:rsid w:val="09810BD7"/>
    <w:rsid w:val="0A727BC3"/>
    <w:rsid w:val="0B81574B"/>
    <w:rsid w:val="0CBA7182"/>
    <w:rsid w:val="0D373249"/>
    <w:rsid w:val="0D6D4CC8"/>
    <w:rsid w:val="0DDC5FC4"/>
    <w:rsid w:val="0DF852EA"/>
    <w:rsid w:val="0E1A3F3B"/>
    <w:rsid w:val="10A5486D"/>
    <w:rsid w:val="132C61D5"/>
    <w:rsid w:val="148D41ED"/>
    <w:rsid w:val="14E51AF4"/>
    <w:rsid w:val="16215F5E"/>
    <w:rsid w:val="177A1020"/>
    <w:rsid w:val="18193D9B"/>
    <w:rsid w:val="187519CE"/>
    <w:rsid w:val="19146D04"/>
    <w:rsid w:val="19F04712"/>
    <w:rsid w:val="1A1636E3"/>
    <w:rsid w:val="1B721729"/>
    <w:rsid w:val="1B842856"/>
    <w:rsid w:val="1D4A6D84"/>
    <w:rsid w:val="1DDC705A"/>
    <w:rsid w:val="1E8B13A5"/>
    <w:rsid w:val="1FB200D7"/>
    <w:rsid w:val="1FCD11E0"/>
    <w:rsid w:val="1FED4BE1"/>
    <w:rsid w:val="200A438F"/>
    <w:rsid w:val="20E709FB"/>
    <w:rsid w:val="21217B23"/>
    <w:rsid w:val="21BA30CD"/>
    <w:rsid w:val="22BD453B"/>
    <w:rsid w:val="23CC3A85"/>
    <w:rsid w:val="242774D4"/>
    <w:rsid w:val="2428573F"/>
    <w:rsid w:val="24AE4CFF"/>
    <w:rsid w:val="256E3B94"/>
    <w:rsid w:val="25B143B9"/>
    <w:rsid w:val="25B31712"/>
    <w:rsid w:val="25C800B3"/>
    <w:rsid w:val="262D6692"/>
    <w:rsid w:val="268603D4"/>
    <w:rsid w:val="268F7204"/>
    <w:rsid w:val="26A84A30"/>
    <w:rsid w:val="27A4471D"/>
    <w:rsid w:val="28A42D0B"/>
    <w:rsid w:val="29515A30"/>
    <w:rsid w:val="299D16A1"/>
    <w:rsid w:val="2A494625"/>
    <w:rsid w:val="2BAE2DDA"/>
    <w:rsid w:val="2BFF2C45"/>
    <w:rsid w:val="2CBE044B"/>
    <w:rsid w:val="2E255688"/>
    <w:rsid w:val="2F0118F7"/>
    <w:rsid w:val="2F0F5544"/>
    <w:rsid w:val="2F1C2F48"/>
    <w:rsid w:val="330852E0"/>
    <w:rsid w:val="331674FE"/>
    <w:rsid w:val="33234D8E"/>
    <w:rsid w:val="358537D5"/>
    <w:rsid w:val="35FB0B56"/>
    <w:rsid w:val="367D5643"/>
    <w:rsid w:val="36AC0AD3"/>
    <w:rsid w:val="37783C6C"/>
    <w:rsid w:val="378D043E"/>
    <w:rsid w:val="39D40892"/>
    <w:rsid w:val="39DF1F73"/>
    <w:rsid w:val="3B593773"/>
    <w:rsid w:val="3C194EDB"/>
    <w:rsid w:val="3C1A3495"/>
    <w:rsid w:val="3D0B04CE"/>
    <w:rsid w:val="3E0A0A70"/>
    <w:rsid w:val="3E770713"/>
    <w:rsid w:val="40C8226F"/>
    <w:rsid w:val="433C0669"/>
    <w:rsid w:val="438F53D4"/>
    <w:rsid w:val="43B92ECB"/>
    <w:rsid w:val="450747ED"/>
    <w:rsid w:val="450D614C"/>
    <w:rsid w:val="45D701F5"/>
    <w:rsid w:val="476C7399"/>
    <w:rsid w:val="48213649"/>
    <w:rsid w:val="49332779"/>
    <w:rsid w:val="4B415AAC"/>
    <w:rsid w:val="4B423927"/>
    <w:rsid w:val="4C983A9D"/>
    <w:rsid w:val="4F360ED0"/>
    <w:rsid w:val="511C0428"/>
    <w:rsid w:val="52DD2F44"/>
    <w:rsid w:val="53DF6BEF"/>
    <w:rsid w:val="53F25310"/>
    <w:rsid w:val="57274C90"/>
    <w:rsid w:val="5788009F"/>
    <w:rsid w:val="5A876B61"/>
    <w:rsid w:val="5AC94CD1"/>
    <w:rsid w:val="5AE559A2"/>
    <w:rsid w:val="5AE97591"/>
    <w:rsid w:val="5AF96577"/>
    <w:rsid w:val="5BEC5FDC"/>
    <w:rsid w:val="5D5709F1"/>
    <w:rsid w:val="5EA734AD"/>
    <w:rsid w:val="5EB674AC"/>
    <w:rsid w:val="5FAB67E7"/>
    <w:rsid w:val="631B4B15"/>
    <w:rsid w:val="66747E0A"/>
    <w:rsid w:val="682D60BB"/>
    <w:rsid w:val="691715F4"/>
    <w:rsid w:val="6A5E39B6"/>
    <w:rsid w:val="6E7E464B"/>
    <w:rsid w:val="70B859A5"/>
    <w:rsid w:val="71235557"/>
    <w:rsid w:val="71C623D5"/>
    <w:rsid w:val="72045A9E"/>
    <w:rsid w:val="73CE29E6"/>
    <w:rsid w:val="744A6551"/>
    <w:rsid w:val="751147C9"/>
    <w:rsid w:val="7528270E"/>
    <w:rsid w:val="75AC31FB"/>
    <w:rsid w:val="75B62928"/>
    <w:rsid w:val="75E973A5"/>
    <w:rsid w:val="76766567"/>
    <w:rsid w:val="76795FA9"/>
    <w:rsid w:val="76FD27D3"/>
    <w:rsid w:val="77091C60"/>
    <w:rsid w:val="77E916F7"/>
    <w:rsid w:val="788512D9"/>
    <w:rsid w:val="78A675E4"/>
    <w:rsid w:val="797753E5"/>
    <w:rsid w:val="79D2636D"/>
    <w:rsid w:val="7A2F0E57"/>
    <w:rsid w:val="7B281ACD"/>
    <w:rsid w:val="7B4B40B9"/>
    <w:rsid w:val="7B4B4107"/>
    <w:rsid w:val="7BF43166"/>
    <w:rsid w:val="7BF84F84"/>
    <w:rsid w:val="7C834FE9"/>
    <w:rsid w:val="7DCD7136"/>
    <w:rsid w:val="7DFE5747"/>
    <w:rsid w:val="7F7D5C8C"/>
    <w:rsid w:val="7F871B8D"/>
    <w:rsid w:val="7FA86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2025-12-24T05:42:00Z</dcterms:created>
  <dc:creator>imaha</dc:creator>
  <cp:lastModifiedBy>马海清</cp:lastModifiedBy>
  <dcterms:modified xsi:type="dcterms:W3CDTF">2026-03-17T09:09:56Z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5BB7BEBC551C46E49DA4AA888999E686_12</vt:lpwstr>
  </property>
  <property fmtid="{D5CDD505-2E9C-101B-9397-08002B2CF9AE}" pid="4" name="KSOTemplateDocerSaveRecord">
    <vt:lpwstr>eyJoZGlkIjoiNmE3ODdhNDE4ODgwODNlYTk3MGU2MGIyOTgwYTQ1YzciLCJ1c2VySWQiOiI4OTYzNDE3MzEifQ==</vt:lpwstr>
  </property>
</Properties>
</file>